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r w:rsidRPr="00F16CF3">
        <w:rPr>
          <w:rFonts w:ascii="Times New Roman" w:hAnsi="Times New Roman" w:cs="Times New Roman"/>
          <w:sz w:val="24"/>
          <w:szCs w:val="24"/>
        </w:rPr>
        <w:t>Case Study Analysis</w:t>
      </w:r>
    </w:p>
    <w:p w:rsidR="00EB5B56" w:rsidRDefault="00EB5B56" w:rsidP="00EB5B56">
      <w:pPr>
        <w:spacing w:after="10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EB5B56" w:rsidRDefault="00EB5B56" w:rsidP="00EB5B56">
      <w:pPr>
        <w:spacing w:after="10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Name </w:t>
      </w:r>
    </w:p>
    <w:p w:rsidR="00EB5B56" w:rsidRPr="00F16CF3" w:rsidRDefault="00EB5B56" w:rsidP="00EB5B56">
      <w:pPr>
        <w:spacing w:after="10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EB5B56" w:rsidRDefault="00EB5B56" w:rsidP="00EB5B56">
      <w:pPr>
        <w:spacing w:after="100" w:line="480" w:lineRule="auto"/>
        <w:jc w:val="center"/>
        <w:rPr>
          <w:rFonts w:ascii="Times New Roman" w:hAnsi="Times New Roman" w:cs="Times New Roman"/>
          <w:sz w:val="24"/>
          <w:szCs w:val="24"/>
        </w:rPr>
      </w:pPr>
    </w:p>
    <w:p w:rsidR="00105494" w:rsidRPr="00105494" w:rsidRDefault="00105494" w:rsidP="00105494">
      <w:pPr>
        <w:spacing w:after="100" w:line="480" w:lineRule="auto"/>
        <w:jc w:val="center"/>
        <w:rPr>
          <w:rFonts w:ascii="Calibri" w:eastAsia="Times New Roman" w:hAnsi="Calibri" w:cs="Calibri"/>
          <w:lang w:val="en-US"/>
        </w:rPr>
      </w:pPr>
      <w:r w:rsidRPr="00105494">
        <w:rPr>
          <w:rFonts w:ascii="Times New Roman" w:eastAsia="Times New Roman" w:hAnsi="Times New Roman" w:cs="Times New Roman"/>
          <w:sz w:val="24"/>
          <w:szCs w:val="24"/>
        </w:rPr>
        <w:lastRenderedPageBreak/>
        <w:t>Introduction</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There are many aspects that influence the health and well-being of a community, or whatever group in every setting. Individuals and entities existing in the given setting have definite roles that act responsively toward the health needs of the same. There is a need to design a framework within the community that would assume a comprehensive approach to maintain and improve health and well-being. In action, this framework should focus on community health assessment, resource and asset determination specifically that promote health, action and implementation plan for the proposed strategy, and the realization of where responsibility should lie for results. To develop an improved health program, the community is bound to look into its specific conditions which would include health concerns, social and political perceptions, competing needs, and resources &amp; capacities. The framework does not have to prescribe practically what the community has to do to address health concerns or who should act responsibly for the same. However, the framework should believe that communities have to address issues and that a systematic approach to improving health has to utilize monitoring tools of performance to achieve what is yearned.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In the given case study, Dr. Davis faces gets a job appointment, something she has yearned for and she takes this as a dream come true. Surprisingly, the initial days of her work are not producing something which threatens her career which she held so dearly. She has some depression that makes her feel uncomfortable and lacks concentration when she needs her brain the most.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The definition of the small groups according to Ballantine, Roberts, &amp; Korgen (2018, p. 129) closely identifies Dr. Davis's case as one. Though the are some reformations experienced over the years, small groups still indicate two or more persons that interact with one another purposely for shared for goals, interests, needs, and experiences (Ballantine, Roberts, &amp; Korgen, 2018). Small groups give one the opportunity to meet other guys and get to work together to attain a given common goal. They also provide social support to members. Dr. Davis was an eloquent person who would see matters and want to talk about them. In her duty, she had the obligation to teach and she needs to nurture her career and live by what she taught but her colleagues fell short of grade and despised what they taught. This community of hers blocked her positive health and her well-being got compromised all through. She was not supported despite the weakness that she exhibited since when she got depressed the first time upon her job appointment. Ideally, groups have strong dimensions and elaborate group structures that guided proceedings. The essential group formation structure was based on a defined purpose and agency efforts pinpointed as an outsider and this were features that were not time-limited; they had no defined endpoint.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Group processes are theorized as psychodynamic something that addresses the emotional thoughts that are unconscious and get to interfere with the ability of a member to interact. This theory holds that members will always identify how they interact with others who have similar relationships with non-group members. This perception is not applicable in the case pf Dr. Davis considering that she was posed to threats of depression and every person she interacted with would worsen her emotional state in one way or another. Very few people stood to represent this theory despite her having to interact with them.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Another theory that is depicted in this case is the symbolic interaction theory that explains symbolic group processes. Initially, Dr. Davis was made a part of the group of the administrators of that institution and this was a symbolic meaning. It means that they’d interact, exchange ideas, and get to interpret matters as a unit but then this was not the case with Davis. Nobody deemed to create and synchronize any symbols to Davis as this is a primary manner in which cohesion and meaning would be built (Ballantine, Roberts, &amp; Korgen, 2018). Her status was something recognizable and the characteristics she portrayed on appointment would fit an elaborate group dynamic. This should have had some effect on the level of influence she had and so is the participation that she had as a member of the group. Holding a common goal, her status recognition was detrimental to help actualize the group goals as Ballantine, Roberts, &amp; Korgen (2018) indicated.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Exchange is a group process but not anywhere found within the case. With common agendas and aspirations, members would exchange resources and distribute assets. This is a dynamic not so new to any setting that gets people together.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Self-categorization is a theory that explains itself from the build-up terms of the phrase. It is a theory that defines stereotype features within a group. In a group, members tend to self-categorize themselves and form some kind of alleviation. On realization that she had no association of colleagues and workgroup as it should have been, Dr. Davis set to uphold a self-categorization theory. It is logical that when people are not on your side in a team, you’d self-categorize yourself and position yourself where you believe you fit. This is the basic idea that Dr. Davis upheld to make shun shame and the feeling of being lone. Self-categorization, however, is associated with some negative impacts like perpetuating depression which might later have adverse effects on the society. This is, therefore, something that diminishes the health and well-being of a group in the community.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            The dynamics of this small group (as we defined it afore) seems to be illusioned with some informal leadership that is not concerned when it comes to task orientation. Problem-solving is not facilitated as it should and leaders are not prompt when it comes to process orientation – identification and management of group relationships. Administrative roles, however, seem very formal with the classification of duties adhered to in a professional way. I remember the pressure that Dr. Davis had in her first hospitalization case when she said that she has to post her midterm exam to her students before slumbering for the treatment process. Informal roles like problem solving and issues of here and there within the facility were not categorical. Only formal roles were assumed with most members hoping that the group’s purpose would be fulfilled. What was not clear to them was that individual needs had also their own purposes, both positive and negative. Such dynamics made Dr. Davis’s health and well-being degrade substantially since she felt out of place for the better part of her stay at the institution.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The communication networks presented in the prevailing situation that Dr. Davis found herself in had some subjections of bias in one way or the other. Worse of, the trauma that was screened in broad light made her depression case worsen as the number of trials she made to commit suicide are uncountable. The communication networks linked members on a physical perception but the literal linkages were not there. Dr. Davis stood any times to fight measures that seemed to degrade certain cultural aspects or features that some people hold so close. At home when she was speaking to a close relative and revealed that she had some interests in both men and ladies, she felt broke as the separation on those grounds was very loud. It happened also when they held a faculty meeting on how to recruit a diverse faculty; Dr. Davis was very profound on stating there was the need to maintain the recruits that were already there before sourcing others. Additionally, she challenged the faculty of culture and reflected on the manner in which minorities were treated. This is the imposition that she wanted to bring on board that everyone ought to be respected and shown that they matter because they do. The funny thing is that the sentiments hit hard on the alleged practitioners of the said practices and this made them not respond in most of the cases. This is a gesture that the information between them was not direct. The face-to-face communication strategy was the most appropriate for this given case.</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The case of Dr. Davis would be doubted if it portrayed a formal organization. The situation in which an organization provides a ground for people to meet their needs and fulfill their goals is considered formal. Individuals get to be nurtured to develop to levels they initially were not in. Goals are thwarted and behavior is constrained. This is the definition of a formal organization. If I recall on her first hospital visit, Dr. Davis was taken by staff but the psychiatrist who attended her was not adequately conversant with his own career. Education is a formal thing especially this offered at the level that Dr. Davis was offering. Consists of concentrated students and staff members who are collectively having a formal structure that works together to meet common goals (</w:t>
      </w:r>
      <w:r w:rsidRPr="00105494">
        <w:rPr>
          <w:rFonts w:ascii="Times New Roman" w:eastAsia="Times New Roman" w:hAnsi="Times New Roman" w:cs="Times New Roman"/>
          <w:color w:val="222222"/>
          <w:sz w:val="24"/>
          <w:szCs w:val="24"/>
        </w:rPr>
        <w:t>Blau &amp; Scott, 2003)</w:t>
      </w:r>
      <w:r w:rsidRPr="00105494">
        <w:rPr>
          <w:rFonts w:ascii="Times New Roman" w:eastAsia="Times New Roman" w:hAnsi="Times New Roman" w:cs="Times New Roman"/>
          <w:sz w:val="24"/>
          <w:szCs w:val="24"/>
        </w:rPr>
        <w:t xml:space="preserve">. What differs from one formal group to the other is structure, culture, goals, functions, etc.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 xml:space="preserve">The theories that are associated with formal organizations hold that these organizations challenge rationality in the image of modern organization – a ration instrument of efficiency that predicts and lasts influences on the same. They do recognize the relationship that exists between them and their environment. The psychiatrists who acted upon Dr. Davis held some relational traits that influenced the culture of the theorist behind this development. Every organization has to relate constantly to multiple of environments which might be social, economic, cultural, political, or technological. In the given case, the social interaction of Davis organization was not sequential and this led to a lapse in the systems perspective. Dr. Davis’s organization had no interrelated systems that were integral purposely to achieve the set goals and environmental standards. It is absurd since the institution could have depended on the environment that it nurtured its employees into if [political and economic resources were to be attained.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Through the application of some theories and perspectives, other theories got to be applied and used in the case. For instance, the learning organization theory (Visser, 2007) is behind the adaptation that is realized when Davis self-consolidates herself.  </w:t>
      </w:r>
    </w:p>
    <w:p w:rsidR="00105494" w:rsidRPr="00105494" w:rsidRDefault="00105494" w:rsidP="00105494">
      <w:pPr>
        <w:spacing w:line="480" w:lineRule="auto"/>
        <w:ind w:firstLine="720"/>
        <w:rPr>
          <w:rFonts w:ascii="Calibri" w:eastAsia="Times New Roman" w:hAnsi="Calibri" w:cs="Calibri"/>
          <w:lang w:val="en-US"/>
        </w:rPr>
      </w:pPr>
      <w:r w:rsidRPr="00105494">
        <w:rPr>
          <w:rFonts w:ascii="Times New Roman" w:eastAsia="Times New Roman" w:hAnsi="Times New Roman" w:cs="Times New Roman"/>
          <w:sz w:val="24"/>
          <w:szCs w:val="24"/>
        </w:rPr>
        <w:t>Members of an organization are connected and put together by the interaction or interpretive perspective. This perception was segregated in the case of Davis since there are those that used to freely interact but for her case, every interaction resulted in a trauma that was more disgusting than her previous state. As a matter of fact, organizations of these days are realistic world views of social constructions that create ongoing and new relationships of the time. This was not evident in the Davis case as segregation based on race and color was at some point paramount. This theory, in the case, was focussed on goals rather than the progress and that is why one would end up getting diminished.  Flexibility was prioritized as opposed to control and reason and diversity were initiated as opposed to one right way. The mistakes that Davis seemed to control were made at will and their disposal was unknown.  The social action theory of Silverman (1971) was paramount for this case based on the individuality portrayed by Davis. The organizational culture theory of Schein (1992) was not found in any place within the case. There were no shared experiences or shared meanings at all. The managing diversity model (Nkomo &amp; Cox, 1999) where organizations were called to maximize potential advantages of diversity in the membership of the organization was not evident. </w:t>
      </w:r>
    </w:p>
    <w:p w:rsidR="00851A71" w:rsidRDefault="00851A71" w:rsidP="00381495">
      <w:pPr>
        <w:spacing w:before="100" w:beforeAutospacing="1" w:after="100" w:afterAutospacing="1" w:line="480" w:lineRule="auto"/>
        <w:jc w:val="center"/>
        <w:rPr>
          <w:rFonts w:ascii="Times New Roman" w:hAnsi="Times New Roman" w:cs="Times New Roman"/>
          <w:sz w:val="24"/>
          <w:szCs w:val="24"/>
        </w:rPr>
      </w:pPr>
    </w:p>
    <w:p w:rsidR="00105494" w:rsidRDefault="00105494" w:rsidP="00381495">
      <w:pPr>
        <w:spacing w:before="100" w:beforeAutospacing="1" w:after="100" w:afterAutospacing="1" w:line="480" w:lineRule="auto"/>
        <w:jc w:val="center"/>
        <w:rPr>
          <w:rFonts w:ascii="Times New Roman" w:hAnsi="Times New Roman" w:cs="Times New Roman"/>
          <w:sz w:val="24"/>
          <w:szCs w:val="24"/>
        </w:rPr>
      </w:pPr>
    </w:p>
    <w:p w:rsidR="00105494" w:rsidRDefault="00105494" w:rsidP="00381495">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851A71" w:rsidRDefault="00851A71" w:rsidP="00381495">
      <w:pPr>
        <w:spacing w:before="100" w:beforeAutospacing="1" w:after="100" w:afterAutospacing="1" w:line="480" w:lineRule="auto"/>
        <w:jc w:val="center"/>
        <w:rPr>
          <w:rFonts w:ascii="Times New Roman" w:hAnsi="Times New Roman" w:cs="Times New Roman"/>
          <w:sz w:val="24"/>
          <w:szCs w:val="24"/>
        </w:rPr>
      </w:pPr>
    </w:p>
    <w:p w:rsidR="00851A71" w:rsidRDefault="00851A71" w:rsidP="00381495">
      <w:pPr>
        <w:spacing w:before="100" w:beforeAutospacing="1" w:after="100" w:afterAutospacing="1" w:line="480" w:lineRule="auto"/>
        <w:jc w:val="center"/>
        <w:rPr>
          <w:rFonts w:ascii="Times New Roman" w:hAnsi="Times New Roman" w:cs="Times New Roman"/>
          <w:sz w:val="24"/>
          <w:szCs w:val="24"/>
        </w:rPr>
      </w:pPr>
    </w:p>
    <w:p w:rsidR="00AB32A8" w:rsidRDefault="00AB32A8" w:rsidP="00EB5B56">
      <w:pPr>
        <w:spacing w:before="100" w:beforeAutospacing="1" w:after="100" w:afterAutospacing="1" w:line="480" w:lineRule="auto"/>
        <w:rPr>
          <w:rFonts w:ascii="Times New Roman" w:hAnsi="Times New Roman" w:cs="Times New Roman"/>
          <w:sz w:val="24"/>
          <w:szCs w:val="24"/>
        </w:rPr>
      </w:pPr>
    </w:p>
    <w:p w:rsidR="00381495" w:rsidRDefault="00381495" w:rsidP="0038149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B5B56" w:rsidRDefault="00EB5B56" w:rsidP="00851A71">
      <w:pPr>
        <w:spacing w:before="100" w:beforeAutospacing="1" w:after="100" w:afterAutospacing="1" w:line="480" w:lineRule="auto"/>
        <w:ind w:left="284" w:hanging="284"/>
        <w:rPr>
          <w:rFonts w:ascii="Times New Roman" w:hAnsi="Times New Roman" w:cs="Times New Roman"/>
          <w:color w:val="222222"/>
          <w:sz w:val="24"/>
          <w:szCs w:val="24"/>
          <w:shd w:val="clear" w:color="auto" w:fill="FFFFFF"/>
        </w:rPr>
      </w:pPr>
      <w:r w:rsidRPr="00EB5B56">
        <w:rPr>
          <w:rFonts w:ascii="Times New Roman" w:hAnsi="Times New Roman" w:cs="Times New Roman"/>
          <w:color w:val="222222"/>
          <w:sz w:val="24"/>
          <w:szCs w:val="24"/>
          <w:shd w:val="clear" w:color="auto" w:fill="FFFFFF"/>
        </w:rPr>
        <w:t>Ballantine, J. H., Roberts, K. A., &amp; Korgen, K. O. (2017). Our social world: Condensed: An introduction to sociology. SAGE Publications.</w:t>
      </w:r>
    </w:p>
    <w:p w:rsidR="00EB5B56" w:rsidRDefault="00EB5B56" w:rsidP="00851A71">
      <w:pPr>
        <w:spacing w:before="100" w:beforeAutospacing="1" w:after="100" w:afterAutospacing="1" w:line="480" w:lineRule="auto"/>
        <w:ind w:left="284" w:hanging="284"/>
        <w:rPr>
          <w:rFonts w:ascii="Times New Roman" w:hAnsi="Times New Roman" w:cs="Times New Roman"/>
          <w:color w:val="222222"/>
          <w:sz w:val="24"/>
          <w:szCs w:val="24"/>
          <w:shd w:val="clear" w:color="auto" w:fill="FFFFFF"/>
        </w:rPr>
      </w:pPr>
      <w:r w:rsidRPr="00EB5B56">
        <w:rPr>
          <w:rFonts w:ascii="Times New Roman" w:hAnsi="Times New Roman" w:cs="Times New Roman"/>
          <w:color w:val="222222"/>
          <w:sz w:val="24"/>
          <w:szCs w:val="24"/>
          <w:shd w:val="clear" w:color="auto" w:fill="FFFFFF"/>
        </w:rPr>
        <w:t>Blau, P. M., &amp; Scott, W. R. (2003). Formal organizations: A comparative approach. Stanford University Press.</w:t>
      </w:r>
    </w:p>
    <w:p w:rsidR="00AF5591" w:rsidRPr="00851A71" w:rsidRDefault="00AF5591" w:rsidP="00851A71">
      <w:pPr>
        <w:spacing w:before="100" w:beforeAutospacing="1" w:after="100" w:afterAutospacing="1" w:line="480" w:lineRule="auto"/>
        <w:ind w:left="284" w:hanging="284"/>
        <w:rPr>
          <w:rFonts w:ascii="Times New Roman" w:hAnsi="Times New Roman" w:cs="Times New Roman"/>
          <w:color w:val="222222"/>
          <w:sz w:val="24"/>
          <w:szCs w:val="24"/>
          <w:shd w:val="clear" w:color="auto" w:fill="FFFFFF"/>
        </w:rPr>
      </w:pPr>
      <w:r w:rsidRPr="00851A71">
        <w:rPr>
          <w:rFonts w:ascii="Times New Roman" w:hAnsi="Times New Roman" w:cs="Times New Roman"/>
          <w:color w:val="222222"/>
          <w:sz w:val="24"/>
          <w:szCs w:val="24"/>
          <w:shd w:val="clear" w:color="auto" w:fill="FFFFFF"/>
        </w:rPr>
        <w:t>Nkomo, S. M., &amp; Cox, T. (1999). Diverse identities in organizations. </w:t>
      </w:r>
      <w:r w:rsidRPr="00851A71">
        <w:rPr>
          <w:rFonts w:ascii="Times New Roman" w:hAnsi="Times New Roman" w:cs="Times New Roman"/>
          <w:i/>
          <w:iCs/>
          <w:color w:val="222222"/>
          <w:sz w:val="24"/>
          <w:szCs w:val="24"/>
          <w:shd w:val="clear" w:color="auto" w:fill="FFFFFF"/>
        </w:rPr>
        <w:t>Managing organizations: Current issues</w:t>
      </w:r>
      <w:r w:rsidRPr="00851A71">
        <w:rPr>
          <w:rFonts w:ascii="Times New Roman" w:hAnsi="Times New Roman" w:cs="Times New Roman"/>
          <w:color w:val="222222"/>
          <w:sz w:val="24"/>
          <w:szCs w:val="24"/>
          <w:shd w:val="clear" w:color="auto" w:fill="FFFFFF"/>
        </w:rPr>
        <w:t>, 88-106.</w:t>
      </w:r>
    </w:p>
    <w:p w:rsidR="00411D67" w:rsidRPr="00851A71" w:rsidRDefault="00AF5591" w:rsidP="00851A71">
      <w:pPr>
        <w:spacing w:before="100" w:beforeAutospacing="1" w:after="100" w:afterAutospacing="1" w:line="480" w:lineRule="auto"/>
        <w:ind w:left="284" w:hanging="284"/>
        <w:rPr>
          <w:rFonts w:ascii="Times New Roman" w:hAnsi="Times New Roman" w:cs="Times New Roman"/>
          <w:color w:val="222222"/>
          <w:sz w:val="24"/>
          <w:szCs w:val="24"/>
          <w:shd w:val="clear" w:color="auto" w:fill="FFFFFF"/>
        </w:rPr>
      </w:pPr>
      <w:r w:rsidRPr="00851A71">
        <w:rPr>
          <w:rFonts w:ascii="Times New Roman" w:hAnsi="Times New Roman" w:cs="Times New Roman"/>
          <w:color w:val="222222"/>
          <w:sz w:val="24"/>
          <w:szCs w:val="24"/>
          <w:shd w:val="clear" w:color="auto" w:fill="FFFFFF"/>
        </w:rPr>
        <w:t>Silverman, D. (1971). </w:t>
      </w:r>
      <w:r w:rsidRPr="00851A71">
        <w:rPr>
          <w:rFonts w:ascii="Times New Roman" w:hAnsi="Times New Roman" w:cs="Times New Roman"/>
          <w:i/>
          <w:iCs/>
          <w:color w:val="222222"/>
          <w:sz w:val="24"/>
          <w:szCs w:val="24"/>
          <w:shd w:val="clear" w:color="auto" w:fill="FFFFFF"/>
        </w:rPr>
        <w:t>The theory of organisations: a sociological framework</w:t>
      </w:r>
      <w:r w:rsidRPr="00851A71">
        <w:rPr>
          <w:rFonts w:ascii="Times New Roman" w:hAnsi="Times New Roman" w:cs="Times New Roman"/>
          <w:color w:val="222222"/>
          <w:sz w:val="24"/>
          <w:szCs w:val="24"/>
          <w:shd w:val="clear" w:color="auto" w:fill="FFFFFF"/>
        </w:rPr>
        <w:t>. Basic Books,[1971.</w:t>
      </w:r>
    </w:p>
    <w:p w:rsidR="00851A71" w:rsidRPr="00851A71" w:rsidRDefault="00851A71" w:rsidP="00851A71">
      <w:pPr>
        <w:spacing w:before="100" w:beforeAutospacing="1" w:after="100" w:afterAutospacing="1" w:line="480" w:lineRule="auto"/>
        <w:ind w:left="284" w:hanging="284"/>
        <w:rPr>
          <w:rFonts w:ascii="Times New Roman" w:hAnsi="Times New Roman" w:cs="Times New Roman"/>
          <w:color w:val="222222"/>
          <w:sz w:val="24"/>
          <w:szCs w:val="24"/>
          <w:shd w:val="clear" w:color="auto" w:fill="FFFFFF"/>
        </w:rPr>
      </w:pPr>
      <w:r w:rsidRPr="00851A71">
        <w:rPr>
          <w:rFonts w:ascii="Times New Roman" w:hAnsi="Times New Roman" w:cs="Times New Roman"/>
          <w:color w:val="222222"/>
          <w:sz w:val="24"/>
          <w:szCs w:val="24"/>
          <w:shd w:val="clear" w:color="auto" w:fill="FFFFFF"/>
        </w:rPr>
        <w:t>Visser, M. (2007). Deutero-learning in organizations: A review and a reformulation. </w:t>
      </w:r>
      <w:r w:rsidRPr="00851A71">
        <w:rPr>
          <w:rFonts w:ascii="Times New Roman" w:hAnsi="Times New Roman" w:cs="Times New Roman"/>
          <w:i/>
          <w:iCs/>
          <w:color w:val="222222"/>
          <w:sz w:val="24"/>
          <w:szCs w:val="24"/>
          <w:shd w:val="clear" w:color="auto" w:fill="FFFFFF"/>
        </w:rPr>
        <w:t>Academy of Management Review</w:t>
      </w:r>
      <w:r w:rsidRPr="00851A71">
        <w:rPr>
          <w:rFonts w:ascii="Times New Roman" w:hAnsi="Times New Roman" w:cs="Times New Roman"/>
          <w:color w:val="222222"/>
          <w:sz w:val="24"/>
          <w:szCs w:val="24"/>
          <w:shd w:val="clear" w:color="auto" w:fill="FFFFFF"/>
        </w:rPr>
        <w:t>, </w:t>
      </w:r>
      <w:r w:rsidRPr="00851A71">
        <w:rPr>
          <w:rFonts w:ascii="Times New Roman" w:hAnsi="Times New Roman" w:cs="Times New Roman"/>
          <w:i/>
          <w:iCs/>
          <w:color w:val="222222"/>
          <w:sz w:val="24"/>
          <w:szCs w:val="24"/>
          <w:shd w:val="clear" w:color="auto" w:fill="FFFFFF"/>
        </w:rPr>
        <w:t>32</w:t>
      </w:r>
      <w:r w:rsidRPr="00851A71">
        <w:rPr>
          <w:rFonts w:ascii="Times New Roman" w:hAnsi="Times New Roman" w:cs="Times New Roman"/>
          <w:color w:val="222222"/>
          <w:sz w:val="24"/>
          <w:szCs w:val="24"/>
          <w:shd w:val="clear" w:color="auto" w:fill="FFFFFF"/>
        </w:rPr>
        <w:t>(2), 659-667.</w:t>
      </w:r>
    </w:p>
    <w:p w:rsidR="00AF5591" w:rsidRDefault="00AF5591" w:rsidP="00411D67">
      <w:pPr>
        <w:spacing w:before="100" w:beforeAutospacing="1" w:after="100" w:afterAutospacing="1" w:line="480" w:lineRule="auto"/>
        <w:rPr>
          <w:rFonts w:ascii="Times New Roman" w:hAnsi="Times New Roman" w:cs="Times New Roman"/>
          <w:sz w:val="24"/>
          <w:szCs w:val="24"/>
        </w:rPr>
      </w:pPr>
    </w:p>
    <w:p w:rsidR="00381495" w:rsidRPr="00B9262F" w:rsidRDefault="00381495" w:rsidP="00381495">
      <w:pPr>
        <w:spacing w:before="100" w:beforeAutospacing="1" w:after="100" w:afterAutospacing="1" w:line="480" w:lineRule="auto"/>
        <w:rPr>
          <w:rFonts w:ascii="Times New Roman" w:hAnsi="Times New Roman" w:cs="Times New Roman"/>
          <w:sz w:val="24"/>
          <w:szCs w:val="24"/>
        </w:rPr>
      </w:pPr>
    </w:p>
    <w:sectPr w:rsidR="00381495" w:rsidRPr="00B9262F" w:rsidSect="0038149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B9F" w:rsidRDefault="00A67B9F" w:rsidP="00B9262F">
      <w:pPr>
        <w:spacing w:after="0" w:line="240" w:lineRule="auto"/>
      </w:pPr>
      <w:r>
        <w:separator/>
      </w:r>
    </w:p>
  </w:endnote>
  <w:endnote w:type="continuationSeparator" w:id="0">
    <w:p w:rsidR="00A67B9F" w:rsidRDefault="00A67B9F" w:rsidP="00B92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B9F" w:rsidRDefault="00A67B9F" w:rsidP="00B9262F">
      <w:pPr>
        <w:spacing w:after="0" w:line="240" w:lineRule="auto"/>
      </w:pPr>
      <w:r>
        <w:separator/>
      </w:r>
    </w:p>
  </w:footnote>
  <w:footnote w:type="continuationSeparator" w:id="0">
    <w:p w:rsidR="00A67B9F" w:rsidRDefault="00A67B9F" w:rsidP="00B92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3014068"/>
      <w:docPartObj>
        <w:docPartGallery w:val="Page Numbers (Top of Page)"/>
        <w:docPartUnique/>
      </w:docPartObj>
    </w:sdtPr>
    <w:sdtEndPr>
      <w:rPr>
        <w:rFonts w:ascii="Times New Roman" w:hAnsi="Times New Roman" w:cs="Times New Roman"/>
        <w:noProof/>
        <w:sz w:val="24"/>
        <w:szCs w:val="24"/>
      </w:rPr>
    </w:sdtEndPr>
    <w:sdtContent>
      <w:p w:rsidR="00452E4E" w:rsidRPr="00381495" w:rsidRDefault="00452E4E" w:rsidP="00381495">
        <w:pPr>
          <w:pStyle w:val="Header"/>
          <w:rPr>
            <w:rFonts w:ascii="Times New Roman" w:hAnsi="Times New Roman" w:cs="Times New Roman"/>
            <w:sz w:val="24"/>
            <w:szCs w:val="24"/>
          </w:rPr>
        </w:pPr>
        <w:r w:rsidRPr="00B9262F">
          <w:rPr>
            <w:rFonts w:ascii="Times New Roman" w:hAnsi="Times New Roman" w:cs="Times New Roman"/>
            <w:sz w:val="24"/>
            <w:szCs w:val="24"/>
          </w:rPr>
          <w:t xml:space="preserve">DR DAVID CASE ANALYSIS </w:t>
        </w:r>
        <w:r>
          <w:rPr>
            <w:rFonts w:ascii="Times New Roman" w:hAnsi="Times New Roman" w:cs="Times New Roman"/>
            <w:sz w:val="24"/>
            <w:szCs w:val="24"/>
          </w:rPr>
          <w:tab/>
        </w:r>
        <w:r>
          <w:rPr>
            <w:rFonts w:ascii="Times New Roman" w:hAnsi="Times New Roman" w:cs="Times New Roman"/>
            <w:sz w:val="24"/>
            <w:szCs w:val="24"/>
          </w:rPr>
          <w:tab/>
        </w:r>
        <w:r w:rsidRPr="00381495">
          <w:rPr>
            <w:rFonts w:ascii="Times New Roman" w:hAnsi="Times New Roman" w:cs="Times New Roman"/>
            <w:sz w:val="24"/>
            <w:szCs w:val="24"/>
          </w:rPr>
          <w:fldChar w:fldCharType="begin"/>
        </w:r>
        <w:r w:rsidRPr="00381495">
          <w:rPr>
            <w:rFonts w:ascii="Times New Roman" w:hAnsi="Times New Roman" w:cs="Times New Roman"/>
            <w:sz w:val="24"/>
            <w:szCs w:val="24"/>
          </w:rPr>
          <w:instrText xml:space="preserve"> PAGE   \* MERGEFORMAT </w:instrText>
        </w:r>
        <w:r w:rsidRPr="00381495">
          <w:rPr>
            <w:rFonts w:ascii="Times New Roman" w:hAnsi="Times New Roman" w:cs="Times New Roman"/>
            <w:sz w:val="24"/>
            <w:szCs w:val="24"/>
          </w:rPr>
          <w:fldChar w:fldCharType="separate"/>
        </w:r>
        <w:r w:rsidR="00105494">
          <w:rPr>
            <w:rFonts w:ascii="Times New Roman" w:hAnsi="Times New Roman" w:cs="Times New Roman"/>
            <w:noProof/>
            <w:sz w:val="24"/>
            <w:szCs w:val="24"/>
          </w:rPr>
          <w:t>8</w:t>
        </w:r>
        <w:r w:rsidRPr="00381495">
          <w:rPr>
            <w:rFonts w:ascii="Times New Roman" w:hAnsi="Times New Roman" w:cs="Times New Roman"/>
            <w:noProof/>
            <w:sz w:val="24"/>
            <w:szCs w:val="24"/>
          </w:rPr>
          <w:fldChar w:fldCharType="end"/>
        </w:r>
      </w:p>
    </w:sdtContent>
  </w:sdt>
  <w:p w:rsidR="00452E4E" w:rsidRPr="00B9262F" w:rsidRDefault="00452E4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176559"/>
      <w:docPartObj>
        <w:docPartGallery w:val="Page Numbers (Top of Page)"/>
        <w:docPartUnique/>
      </w:docPartObj>
    </w:sdtPr>
    <w:sdtEndPr>
      <w:rPr>
        <w:rFonts w:ascii="Times New Roman" w:hAnsi="Times New Roman" w:cs="Times New Roman"/>
        <w:noProof/>
        <w:sz w:val="24"/>
        <w:szCs w:val="24"/>
      </w:rPr>
    </w:sdtEndPr>
    <w:sdtContent>
      <w:p w:rsidR="00452E4E" w:rsidRPr="00381495" w:rsidRDefault="00452E4E" w:rsidP="00381495">
        <w:pPr>
          <w:pStyle w:val="Header"/>
          <w:rPr>
            <w:rFonts w:ascii="Times New Roman" w:hAnsi="Times New Roman" w:cs="Times New Roman"/>
            <w:sz w:val="24"/>
            <w:szCs w:val="24"/>
          </w:rPr>
        </w:pPr>
        <w:r w:rsidRPr="00B9262F">
          <w:rPr>
            <w:rFonts w:ascii="Times New Roman" w:hAnsi="Times New Roman" w:cs="Times New Roman"/>
            <w:sz w:val="24"/>
            <w:szCs w:val="24"/>
          </w:rPr>
          <w:t xml:space="preserve">Running Head: DR DAVID CASE ANALYSIS </w:t>
        </w:r>
        <w:r>
          <w:rPr>
            <w:rFonts w:ascii="Times New Roman" w:hAnsi="Times New Roman" w:cs="Times New Roman"/>
            <w:sz w:val="24"/>
            <w:szCs w:val="24"/>
          </w:rPr>
          <w:tab/>
        </w:r>
        <w:r w:rsidRPr="00381495">
          <w:rPr>
            <w:rFonts w:ascii="Times New Roman" w:hAnsi="Times New Roman" w:cs="Times New Roman"/>
            <w:sz w:val="24"/>
            <w:szCs w:val="24"/>
          </w:rPr>
          <w:fldChar w:fldCharType="begin"/>
        </w:r>
        <w:r w:rsidRPr="00381495">
          <w:rPr>
            <w:rFonts w:ascii="Times New Roman" w:hAnsi="Times New Roman" w:cs="Times New Roman"/>
            <w:sz w:val="24"/>
            <w:szCs w:val="24"/>
          </w:rPr>
          <w:instrText xml:space="preserve"> PAGE   \* MERGEFORMAT </w:instrText>
        </w:r>
        <w:r w:rsidRPr="00381495">
          <w:rPr>
            <w:rFonts w:ascii="Times New Roman" w:hAnsi="Times New Roman" w:cs="Times New Roman"/>
            <w:sz w:val="24"/>
            <w:szCs w:val="24"/>
          </w:rPr>
          <w:fldChar w:fldCharType="separate"/>
        </w:r>
        <w:r w:rsidR="00A67B9F">
          <w:rPr>
            <w:rFonts w:ascii="Times New Roman" w:hAnsi="Times New Roman" w:cs="Times New Roman"/>
            <w:noProof/>
            <w:sz w:val="24"/>
            <w:szCs w:val="24"/>
          </w:rPr>
          <w:t>1</w:t>
        </w:r>
        <w:r w:rsidRPr="00381495">
          <w:rPr>
            <w:rFonts w:ascii="Times New Roman" w:hAnsi="Times New Roman" w:cs="Times New Roman"/>
            <w:noProof/>
            <w:sz w:val="24"/>
            <w:szCs w:val="24"/>
          </w:rPr>
          <w:fldChar w:fldCharType="end"/>
        </w:r>
      </w:p>
    </w:sdtContent>
  </w:sdt>
  <w:p w:rsidR="00452E4E" w:rsidRDefault="00452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0E"/>
    <w:rsid w:val="000B6671"/>
    <w:rsid w:val="000D3B6C"/>
    <w:rsid w:val="00105494"/>
    <w:rsid w:val="00290720"/>
    <w:rsid w:val="002F4B3C"/>
    <w:rsid w:val="00332435"/>
    <w:rsid w:val="00381495"/>
    <w:rsid w:val="00390BA2"/>
    <w:rsid w:val="00411D67"/>
    <w:rsid w:val="00452E4E"/>
    <w:rsid w:val="00467204"/>
    <w:rsid w:val="004E3189"/>
    <w:rsid w:val="004F0D08"/>
    <w:rsid w:val="00500334"/>
    <w:rsid w:val="00591455"/>
    <w:rsid w:val="005C48E4"/>
    <w:rsid w:val="005C5759"/>
    <w:rsid w:val="006065CF"/>
    <w:rsid w:val="006605FD"/>
    <w:rsid w:val="00690763"/>
    <w:rsid w:val="007D4F63"/>
    <w:rsid w:val="007E099B"/>
    <w:rsid w:val="00851A71"/>
    <w:rsid w:val="008932D9"/>
    <w:rsid w:val="008C4244"/>
    <w:rsid w:val="00976E9C"/>
    <w:rsid w:val="00A67B9F"/>
    <w:rsid w:val="00AB32A8"/>
    <w:rsid w:val="00AF5591"/>
    <w:rsid w:val="00B9262F"/>
    <w:rsid w:val="00C10316"/>
    <w:rsid w:val="00CC4308"/>
    <w:rsid w:val="00CD1253"/>
    <w:rsid w:val="00D0291C"/>
    <w:rsid w:val="00D745CD"/>
    <w:rsid w:val="00EB5B56"/>
    <w:rsid w:val="00EE6EB9"/>
    <w:rsid w:val="00F6780E"/>
    <w:rsid w:val="00F86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5FC318-9FBB-46B7-B17D-5FA89C50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62F"/>
  </w:style>
  <w:style w:type="paragraph" w:styleId="Footer">
    <w:name w:val="footer"/>
    <w:basedOn w:val="Normal"/>
    <w:link w:val="FooterChar"/>
    <w:uiPriority w:val="99"/>
    <w:unhideWhenUsed/>
    <w:rsid w:val="00B92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76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8</Pages>
  <Words>1872</Words>
  <Characters>10675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cp:revision>
  <dcterms:created xsi:type="dcterms:W3CDTF">2020-03-26T19:01:00Z</dcterms:created>
  <dcterms:modified xsi:type="dcterms:W3CDTF">2020-03-27T09:08:00Z</dcterms:modified>
</cp:coreProperties>
</file>